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9E742" w14:textId="22821CF2" w:rsidR="005B2EFE" w:rsidRPr="005B2EFE" w:rsidRDefault="00613B4D" w:rsidP="005B2EF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</w:t>
      </w:r>
      <w:r w:rsidR="005B2EFE" w:rsidRPr="005B2EFE">
        <w:rPr>
          <w:b/>
          <w:bCs/>
          <w:sz w:val="28"/>
          <w:szCs w:val="28"/>
        </w:rPr>
        <w:t>omplejos de renio</w:t>
      </w:r>
      <w:r w:rsidR="006414AE">
        <w:rPr>
          <w:b/>
          <w:bCs/>
          <w:sz w:val="28"/>
          <w:szCs w:val="28"/>
        </w:rPr>
        <w:t xml:space="preserve"> y nanopartículas para su uso en la </w:t>
      </w:r>
      <w:proofErr w:type="spellStart"/>
      <w:r w:rsidR="006414AE">
        <w:rPr>
          <w:b/>
          <w:bCs/>
          <w:sz w:val="28"/>
          <w:szCs w:val="28"/>
        </w:rPr>
        <w:t>fotodegradación</w:t>
      </w:r>
      <w:proofErr w:type="spellEnd"/>
      <w:r w:rsidR="006414AE">
        <w:rPr>
          <w:b/>
          <w:bCs/>
          <w:sz w:val="28"/>
          <w:szCs w:val="28"/>
        </w:rPr>
        <w:t xml:space="preserve"> de contaminantes</w:t>
      </w:r>
    </w:p>
    <w:p w14:paraId="5ECC9D42" w14:textId="77777777" w:rsidR="005B2EFE" w:rsidRDefault="005B2EFE" w:rsidP="001B7762">
      <w:pPr>
        <w:jc w:val="both"/>
        <w:rPr>
          <w:b/>
          <w:bCs/>
        </w:rPr>
      </w:pPr>
    </w:p>
    <w:p w14:paraId="2B32DB9B" w14:textId="176E5E25" w:rsidR="00613B4D" w:rsidRDefault="00613B4D" w:rsidP="00613B4D">
      <w:pPr>
        <w:jc w:val="both"/>
      </w:pPr>
      <w:r>
        <w:t xml:space="preserve">Los contaminantes emergentes (CE), </w:t>
      </w:r>
      <w:r w:rsidR="007907E9">
        <w:t>entre los cuales</w:t>
      </w:r>
      <w:r>
        <w:t xml:space="preserve"> se destacan fármacos como cafeína, paracetamol, ibuprofeno y </w:t>
      </w:r>
      <w:proofErr w:type="spellStart"/>
      <w:r w:rsidR="006C15C9">
        <w:t>diclofenac</w:t>
      </w:r>
      <w:proofErr w:type="spellEnd"/>
      <w:r>
        <w:t>, representan una amenaza</w:t>
      </w:r>
      <w:r w:rsidR="006C15C9">
        <w:t xml:space="preserve"> creciente</w:t>
      </w:r>
      <w:r>
        <w:t xml:space="preserve"> para los recursos hídricos y la salud pública [1]. Estos compuestos, detectados no sólo en ríos argentinos [2] sino a lo largo de todo el </w:t>
      </w:r>
      <w:r w:rsidR="007907E9">
        <w:t>mundo</w:t>
      </w:r>
      <w:r>
        <w:t xml:space="preserve">, pueden generar efectos fisiológicos significativos aun en bajas concentraciones [3] y su bioacumulación en organismos acuáticos y sus efectos citotóxicos y genotóxicos plantean serios riesgos ecológicos y sanitarios [4,5]. </w:t>
      </w:r>
      <w:r w:rsidR="007907E9" w:rsidRPr="007907E9">
        <w:t>Además, su presencia contribuye al desarrollo de resistencia bacteriana, lo que agrava la problemática global de la crisis antibiótica</w:t>
      </w:r>
      <w:r>
        <w:t xml:space="preserve"> [6]. La falta de monitoreo adecuado resalta la necesidad de estrategias innovadoras para su mitigación.</w:t>
      </w:r>
    </w:p>
    <w:p w14:paraId="1F520DFB" w14:textId="2D3EBCC1" w:rsidR="0080243F" w:rsidRDefault="0080243F" w:rsidP="00613B4D">
      <w:pPr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DCBB337" wp14:editId="298B179D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2773045" cy="2000250"/>
            <wp:effectExtent l="0" t="0" r="8255" b="0"/>
            <wp:wrapSquare wrapText="bothSides"/>
            <wp:docPr id="1578068516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532"/>
                    <a:stretch/>
                  </pic:blipFill>
                  <pic:spPr bwMode="auto">
                    <a:xfrm>
                      <a:off x="0" y="0"/>
                      <a:ext cx="2773045" cy="200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0243F">
        <w:t>En este contexto, se propone una estrategia combinada basada en el uso de complejos de coordinación de renio(I) (</w:t>
      </w:r>
      <w:proofErr w:type="spellStart"/>
      <w:r w:rsidRPr="0080243F">
        <w:t>ReC</w:t>
      </w:r>
      <w:proofErr w:type="spellEnd"/>
      <w:r w:rsidRPr="0080243F">
        <w:t xml:space="preserve">) y nanopartículas </w:t>
      </w:r>
      <w:r w:rsidR="00D50B6E">
        <w:t xml:space="preserve">recubiertas </w:t>
      </w:r>
      <w:r w:rsidRPr="0080243F">
        <w:t xml:space="preserve">con sustancias húmicas para mejorar la </w:t>
      </w:r>
      <w:proofErr w:type="spellStart"/>
      <w:r w:rsidRPr="0080243F">
        <w:t>fotodegradación</w:t>
      </w:r>
      <w:proofErr w:type="spellEnd"/>
      <w:r w:rsidRPr="0080243F">
        <w:t xml:space="preserve"> de contaminantes emergentes. Los </w:t>
      </w:r>
      <w:proofErr w:type="spellStart"/>
      <w:r w:rsidRPr="0080243F">
        <w:t>ReC</w:t>
      </w:r>
      <w:proofErr w:type="spellEnd"/>
      <w:r w:rsidRPr="0080243F">
        <w:t xml:space="preserve">, al ser irradiados con luz, generan especies reactivas capaces de descomponer estos compuestos, constituyendo una alternativa sostenible para su eliminación. Por su parte, las nanopartículas </w:t>
      </w:r>
      <w:r w:rsidR="00D50B6E">
        <w:t>recubiertas</w:t>
      </w:r>
      <w:r w:rsidRPr="0080243F">
        <w:t xml:space="preserve"> no solo amplían el espectro de absorción de la radiación, sino que también pueden actuar en sinergia con el complejo de renio, potenciando su actividad fotocatalítica</w:t>
      </w:r>
      <w:r w:rsidR="00D50B6E">
        <w:t xml:space="preserve"> y sirven para la eliminación del fotosensibilizador al ser magnéticas</w:t>
      </w:r>
      <w:r w:rsidRPr="0080243F">
        <w:t>. Esta interacción conjunta busca maximizar la eficiencia del proceso y ofrece un enfoque innovador y eficaz para mitigar el impacto ambiental y sanitario de los contaminantes seleccionados.</w:t>
      </w:r>
    </w:p>
    <w:p w14:paraId="3B6EAC05" w14:textId="582C8D9C" w:rsidR="00E4498A" w:rsidRPr="00613B4D" w:rsidRDefault="007907E9" w:rsidP="00613B4D">
      <w:pPr>
        <w:jc w:val="both"/>
      </w:pPr>
      <w:r>
        <w:t xml:space="preserve">El objetivo de este proyecto es estudiar la interacción entre la radiación UV y compuestos de renio y nanopartículas que facilitan la </w:t>
      </w:r>
      <w:proofErr w:type="spellStart"/>
      <w:r>
        <w:t>fotodegradación</w:t>
      </w:r>
      <w:proofErr w:type="spellEnd"/>
      <w:r>
        <w:t xml:space="preserve"> de los contaminantes. </w:t>
      </w:r>
      <w:r w:rsidR="0080243F">
        <w:t>Para ello, s</w:t>
      </w:r>
      <w:r>
        <w:t xml:space="preserve">e emplearán </w:t>
      </w:r>
      <w:r w:rsidR="0080243F">
        <w:t>diversas</w:t>
      </w:r>
      <w:r>
        <w:t xml:space="preserve"> técnicas experimentales </w:t>
      </w:r>
      <w:r w:rsidR="0080243F" w:rsidRPr="0080243F">
        <w:t>con el fin de identificar y caracterizar los fotoproductos generados</w:t>
      </w:r>
      <w:r>
        <w:t>.</w:t>
      </w:r>
    </w:p>
    <w:p w14:paraId="18C51643" w14:textId="77777777" w:rsidR="00A37E98" w:rsidRPr="00A37E98" w:rsidRDefault="00A37E98" w:rsidP="001B7762">
      <w:pPr>
        <w:jc w:val="both"/>
      </w:pPr>
    </w:p>
    <w:p w14:paraId="2B5DA655" w14:textId="7DEF1855" w:rsidR="00A37E98" w:rsidRDefault="006C15C9" w:rsidP="001B7762">
      <w:pPr>
        <w:jc w:val="both"/>
      </w:pPr>
      <w:r w:rsidRPr="00A37E98">
        <w:rPr>
          <w:b/>
          <w:bCs/>
        </w:rPr>
        <w:t>Técnicas experimentales a utilizar:</w:t>
      </w:r>
      <w:r w:rsidRPr="006C15C9">
        <w:t xml:space="preserve"> </w:t>
      </w:r>
      <w:r w:rsidR="00A37E98">
        <w:t>Espectroscopía UV-vis, espectroscopía de fluorescencia, espectroscopía Raman y f</w:t>
      </w:r>
      <w:r w:rsidR="00E4498A">
        <w:t>otólisis por irradiación UV</w:t>
      </w:r>
      <w:r w:rsidR="00A37E98">
        <w:rPr>
          <w:lang w:val="es-ES"/>
        </w:rPr>
        <w:t>.</w:t>
      </w:r>
    </w:p>
    <w:p w14:paraId="314E8171" w14:textId="77777777" w:rsidR="00FD0164" w:rsidRDefault="00FD0164" w:rsidP="001B7762">
      <w:pPr>
        <w:jc w:val="both"/>
        <w:rPr>
          <w:b/>
          <w:bCs/>
        </w:rPr>
      </w:pPr>
    </w:p>
    <w:p w14:paraId="0486435D" w14:textId="3822FCF1" w:rsidR="00A37E98" w:rsidRPr="00A37E98" w:rsidRDefault="006C15C9" w:rsidP="001B7762">
      <w:pPr>
        <w:jc w:val="both"/>
        <w:rPr>
          <w:b/>
          <w:bCs/>
        </w:rPr>
      </w:pPr>
      <w:r w:rsidRPr="00A37E98">
        <w:rPr>
          <w:b/>
          <w:bCs/>
        </w:rPr>
        <w:t>Cronograma tentativo</w:t>
      </w:r>
      <w:r w:rsidR="00A37E98" w:rsidRPr="00A37E98">
        <w:rPr>
          <w:b/>
          <w:bCs/>
        </w:rPr>
        <w:t>:</w:t>
      </w:r>
    </w:p>
    <w:p w14:paraId="3E4845C0" w14:textId="7DE43C0F" w:rsidR="00A37E98" w:rsidRDefault="006C15C9" w:rsidP="00FD0164">
      <w:pPr>
        <w:pStyle w:val="Prrafodelista"/>
        <w:numPr>
          <w:ilvl w:val="0"/>
          <w:numId w:val="2"/>
        </w:numPr>
        <w:jc w:val="both"/>
      </w:pPr>
      <w:r w:rsidRPr="00B561D7">
        <w:rPr>
          <w:i/>
          <w:iCs/>
        </w:rPr>
        <w:t>Semana 1</w:t>
      </w:r>
      <w:r w:rsidR="00B561D7" w:rsidRPr="00B561D7">
        <w:rPr>
          <w:i/>
          <w:iCs/>
        </w:rPr>
        <w:t>:</w:t>
      </w:r>
      <w:r w:rsidRPr="006C15C9">
        <w:t xml:space="preserve"> Presentación y recorrido por las instalaciones del C</w:t>
      </w:r>
      <w:r w:rsidR="00A37E98">
        <w:t>IOp</w:t>
      </w:r>
      <w:r w:rsidRPr="006C15C9">
        <w:t xml:space="preserve">. Revisión de la literatura. </w:t>
      </w:r>
    </w:p>
    <w:p w14:paraId="0F411E44" w14:textId="4E8BE2CB" w:rsidR="00A37E98" w:rsidRDefault="006C15C9" w:rsidP="00FD0164">
      <w:pPr>
        <w:pStyle w:val="Prrafodelista"/>
        <w:numPr>
          <w:ilvl w:val="0"/>
          <w:numId w:val="2"/>
        </w:numPr>
        <w:jc w:val="both"/>
      </w:pPr>
      <w:r w:rsidRPr="00B561D7">
        <w:rPr>
          <w:i/>
          <w:iCs/>
        </w:rPr>
        <w:t>Semana 2</w:t>
      </w:r>
      <w:r w:rsidR="00B561D7" w:rsidRPr="00B561D7">
        <w:rPr>
          <w:i/>
          <w:iCs/>
        </w:rPr>
        <w:t>:</w:t>
      </w:r>
      <w:r w:rsidRPr="006C15C9">
        <w:t xml:space="preserve"> Revisión de las técnicas involucradas y </w:t>
      </w:r>
      <w:r w:rsidR="00A37E98">
        <w:t>preparación de las soluciones madre</w:t>
      </w:r>
      <w:r w:rsidRPr="006C15C9">
        <w:t xml:space="preserve">. </w:t>
      </w:r>
      <w:r w:rsidR="00A37E98">
        <w:t>Análisis de los</w:t>
      </w:r>
      <w:r w:rsidRPr="006C15C9">
        <w:t xml:space="preserve"> </w:t>
      </w:r>
      <w:r w:rsidR="00E4498A">
        <w:t>espectros.</w:t>
      </w:r>
    </w:p>
    <w:p w14:paraId="3AC35721" w14:textId="60A3911C" w:rsidR="00A37E98" w:rsidRDefault="006C15C9" w:rsidP="00FD0164">
      <w:pPr>
        <w:pStyle w:val="Prrafodelista"/>
        <w:numPr>
          <w:ilvl w:val="0"/>
          <w:numId w:val="2"/>
        </w:numPr>
        <w:jc w:val="both"/>
      </w:pPr>
      <w:r w:rsidRPr="00B561D7">
        <w:rPr>
          <w:i/>
          <w:iCs/>
        </w:rPr>
        <w:t>Semanas 3</w:t>
      </w:r>
      <w:r w:rsidR="007F697C">
        <w:rPr>
          <w:i/>
          <w:iCs/>
        </w:rPr>
        <w:t xml:space="preserve"> y 4</w:t>
      </w:r>
      <w:r w:rsidR="00B561D7" w:rsidRPr="00B561D7">
        <w:rPr>
          <w:i/>
          <w:iCs/>
        </w:rPr>
        <w:t>:</w:t>
      </w:r>
      <w:r w:rsidRPr="006C15C9">
        <w:t xml:space="preserve"> Preparación de muestras para </w:t>
      </w:r>
      <w:r w:rsidR="00A37E98">
        <w:t>fotólisis</w:t>
      </w:r>
      <w:r w:rsidRPr="006C15C9">
        <w:t>.</w:t>
      </w:r>
      <w:r w:rsidR="00A37E98">
        <w:t xml:space="preserve"> Análisis </w:t>
      </w:r>
      <w:r w:rsidR="00E4498A">
        <w:t xml:space="preserve">de la </w:t>
      </w:r>
      <w:proofErr w:type="spellStart"/>
      <w:r w:rsidR="00E4498A">
        <w:t>fotodegradación</w:t>
      </w:r>
      <w:proofErr w:type="spellEnd"/>
      <w:r w:rsidR="00E4498A">
        <w:t>.</w:t>
      </w:r>
    </w:p>
    <w:p w14:paraId="56267E4B" w14:textId="6BD76626" w:rsidR="00A37E98" w:rsidRPr="00181045" w:rsidRDefault="006C15C9" w:rsidP="00FD0164">
      <w:pPr>
        <w:pStyle w:val="Prrafodelista"/>
        <w:numPr>
          <w:ilvl w:val="0"/>
          <w:numId w:val="2"/>
        </w:numPr>
        <w:jc w:val="both"/>
      </w:pPr>
      <w:r w:rsidRPr="00B561D7">
        <w:rPr>
          <w:i/>
          <w:iCs/>
        </w:rPr>
        <w:lastRenderedPageBreak/>
        <w:t xml:space="preserve">Semanas </w:t>
      </w:r>
      <w:r w:rsidR="007F697C">
        <w:rPr>
          <w:i/>
          <w:iCs/>
        </w:rPr>
        <w:t>5</w:t>
      </w:r>
      <w:r w:rsidR="00B561D7">
        <w:rPr>
          <w:i/>
          <w:iCs/>
        </w:rPr>
        <w:t xml:space="preserve"> y </w:t>
      </w:r>
      <w:r w:rsidR="007F697C">
        <w:rPr>
          <w:i/>
          <w:iCs/>
        </w:rPr>
        <w:t>6</w:t>
      </w:r>
      <w:r w:rsidR="00B561D7" w:rsidRPr="00B561D7">
        <w:rPr>
          <w:i/>
          <w:iCs/>
        </w:rPr>
        <w:t>:</w:t>
      </w:r>
      <w:r w:rsidRPr="006C15C9">
        <w:t xml:space="preserve"> Análisis de resultados y redacción de informe. </w:t>
      </w:r>
    </w:p>
    <w:p w14:paraId="4BEFC93B" w14:textId="77777777" w:rsidR="00FD0164" w:rsidRDefault="00FD0164" w:rsidP="001B7762">
      <w:pPr>
        <w:jc w:val="both"/>
        <w:rPr>
          <w:b/>
          <w:bCs/>
        </w:rPr>
      </w:pPr>
    </w:p>
    <w:p w14:paraId="7B60E4DC" w14:textId="2BC8A85D" w:rsidR="00A37E98" w:rsidRDefault="006C15C9" w:rsidP="001B7762">
      <w:pPr>
        <w:jc w:val="both"/>
      </w:pPr>
      <w:r w:rsidRPr="00A37E98">
        <w:rPr>
          <w:b/>
          <w:bCs/>
        </w:rPr>
        <w:t>Equipo de trabajo:</w:t>
      </w:r>
      <w:r w:rsidR="00A37E98">
        <w:t xml:space="preserve"> Emilia Serrano, Janis Rosales</w:t>
      </w:r>
      <w:r w:rsidR="00E4498A">
        <w:t>, Pedro David Gara.</w:t>
      </w:r>
    </w:p>
    <w:p w14:paraId="4A74EFBF" w14:textId="77777777" w:rsidR="00FD0164" w:rsidRDefault="00FD0164" w:rsidP="001B7762">
      <w:pPr>
        <w:jc w:val="both"/>
        <w:rPr>
          <w:b/>
          <w:bCs/>
        </w:rPr>
      </w:pPr>
    </w:p>
    <w:p w14:paraId="748B7205" w14:textId="4907C748" w:rsidR="00A37E98" w:rsidRPr="00181045" w:rsidRDefault="006C15C9" w:rsidP="001B7762">
      <w:pPr>
        <w:jc w:val="both"/>
      </w:pPr>
      <w:r w:rsidRPr="00A37E98">
        <w:rPr>
          <w:b/>
          <w:bCs/>
        </w:rPr>
        <w:t>Mail de contacto:</w:t>
      </w:r>
      <w:r w:rsidRPr="006C15C9">
        <w:t xml:space="preserve"> </w:t>
      </w:r>
      <w:hyperlink r:id="rId6" w:history="1">
        <w:r w:rsidR="00A37E98" w:rsidRPr="00D17AF3">
          <w:rPr>
            <w:rStyle w:val="Hipervnculo"/>
          </w:rPr>
          <w:t>emilias@ciop.unlp.edu.ar</w:t>
        </w:r>
      </w:hyperlink>
      <w:r w:rsidR="00A37E98">
        <w:t xml:space="preserve"> </w:t>
      </w:r>
    </w:p>
    <w:p w14:paraId="3A1798FF" w14:textId="77777777" w:rsidR="00FD0164" w:rsidRDefault="00FD0164" w:rsidP="001B7762">
      <w:pPr>
        <w:jc w:val="both"/>
        <w:rPr>
          <w:b/>
          <w:bCs/>
        </w:rPr>
      </w:pPr>
    </w:p>
    <w:p w14:paraId="7D3587EC" w14:textId="031E3D05" w:rsidR="00A37E98" w:rsidRPr="00181045" w:rsidRDefault="006C15C9" w:rsidP="001B7762">
      <w:pPr>
        <w:jc w:val="both"/>
      </w:pPr>
      <w:r w:rsidRPr="00A37E98">
        <w:rPr>
          <w:b/>
          <w:bCs/>
        </w:rPr>
        <w:t>Lugar de trabajo:</w:t>
      </w:r>
      <w:r w:rsidRPr="006C15C9">
        <w:t xml:space="preserve"> Centro de </w:t>
      </w:r>
      <w:r>
        <w:t>Investigaciones Ópticas</w:t>
      </w:r>
      <w:r w:rsidRPr="006C15C9">
        <w:t xml:space="preserve"> (</w:t>
      </w:r>
      <w:r>
        <w:t>CIOp</w:t>
      </w:r>
      <w:r w:rsidRPr="006C15C9">
        <w:t xml:space="preserve">).  </w:t>
      </w:r>
      <w:r w:rsidR="00A37E98" w:rsidRPr="00A37E98">
        <w:t>Camino Centenario y 506, C.C. 3</w:t>
      </w:r>
      <w:r w:rsidRPr="006C15C9">
        <w:t xml:space="preserve">, M.B. Gonnet. </w:t>
      </w:r>
    </w:p>
    <w:p w14:paraId="7F9C8692" w14:textId="77777777" w:rsidR="00FD0164" w:rsidRDefault="00FD0164" w:rsidP="001B7762">
      <w:pPr>
        <w:jc w:val="both"/>
        <w:rPr>
          <w:b/>
          <w:bCs/>
        </w:rPr>
      </w:pPr>
    </w:p>
    <w:p w14:paraId="18B0F12F" w14:textId="3655409D" w:rsidR="006C15C9" w:rsidRPr="00A37E98" w:rsidRDefault="006C15C9" w:rsidP="001B7762">
      <w:pPr>
        <w:jc w:val="both"/>
        <w:rPr>
          <w:b/>
          <w:bCs/>
        </w:rPr>
      </w:pPr>
      <w:r w:rsidRPr="00A37E98">
        <w:rPr>
          <w:b/>
          <w:bCs/>
        </w:rPr>
        <w:t>Bibliografía:</w:t>
      </w:r>
    </w:p>
    <w:p w14:paraId="2F0934CD" w14:textId="77777777" w:rsidR="006C15C9" w:rsidRDefault="006C15C9" w:rsidP="006C15C9">
      <w:pPr>
        <w:jc w:val="both"/>
      </w:pPr>
      <w:r w:rsidRPr="006C15C9">
        <w:t xml:space="preserve">[1] Wilkinson, J. </w:t>
      </w:r>
      <w:r w:rsidRPr="006C15C9">
        <w:rPr>
          <w:i/>
        </w:rPr>
        <w:t>PNAS</w:t>
      </w:r>
      <w:r w:rsidRPr="006C15C9">
        <w:t xml:space="preserve">, </w:t>
      </w:r>
      <w:r w:rsidRPr="006C15C9">
        <w:rPr>
          <w:b/>
        </w:rPr>
        <w:t>2022</w:t>
      </w:r>
      <w:r w:rsidRPr="006C15C9">
        <w:t xml:space="preserve">, 119, e2113947119. </w:t>
      </w:r>
    </w:p>
    <w:p w14:paraId="76DD90BE" w14:textId="77777777" w:rsidR="006C15C9" w:rsidRDefault="006C15C9" w:rsidP="006C15C9">
      <w:pPr>
        <w:jc w:val="both"/>
        <w:rPr>
          <w:lang w:val="en-US"/>
        </w:rPr>
      </w:pPr>
      <w:r w:rsidRPr="008D0041">
        <w:rPr>
          <w:lang w:val="fr-FR"/>
        </w:rPr>
        <w:t xml:space="preserve">[2] </w:t>
      </w:r>
      <w:proofErr w:type="spellStart"/>
      <w:r w:rsidRPr="008D0041">
        <w:rPr>
          <w:lang w:val="fr-FR"/>
        </w:rPr>
        <w:t>Elorriaga</w:t>
      </w:r>
      <w:proofErr w:type="spellEnd"/>
      <w:r w:rsidRPr="008D0041">
        <w:rPr>
          <w:lang w:val="fr-FR"/>
        </w:rPr>
        <w:t xml:space="preserve">, Y. </w:t>
      </w:r>
      <w:r w:rsidRPr="008D0041">
        <w:rPr>
          <w:i/>
          <w:lang w:val="fr-FR"/>
        </w:rPr>
        <w:t xml:space="preserve">Int. J. Environ. </w:t>
      </w:r>
      <w:r w:rsidRPr="006C15C9">
        <w:rPr>
          <w:i/>
          <w:lang w:val="en-US"/>
        </w:rPr>
        <w:t>Health</w:t>
      </w:r>
      <w:r w:rsidRPr="006C15C9">
        <w:rPr>
          <w:lang w:val="en-US"/>
        </w:rPr>
        <w:t xml:space="preserve">, </w:t>
      </w:r>
      <w:r w:rsidRPr="006C15C9">
        <w:rPr>
          <w:b/>
          <w:lang w:val="en-US"/>
        </w:rPr>
        <w:t>2013</w:t>
      </w:r>
      <w:r w:rsidRPr="006C15C9">
        <w:rPr>
          <w:lang w:val="en-US"/>
        </w:rPr>
        <w:t xml:space="preserve">, 6.4, 330-339. </w:t>
      </w:r>
    </w:p>
    <w:p w14:paraId="74775506" w14:textId="77777777" w:rsidR="006C15C9" w:rsidRDefault="006C15C9" w:rsidP="006C15C9">
      <w:pPr>
        <w:jc w:val="both"/>
        <w:rPr>
          <w:lang w:val="en-US"/>
        </w:rPr>
      </w:pPr>
      <w:r w:rsidRPr="006C15C9">
        <w:rPr>
          <w:lang w:val="en-US"/>
        </w:rPr>
        <w:t xml:space="preserve">[3] </w:t>
      </w:r>
      <w:proofErr w:type="spellStart"/>
      <w:r w:rsidRPr="006C15C9">
        <w:rPr>
          <w:lang w:val="en-US"/>
        </w:rPr>
        <w:t>Strehlitz</w:t>
      </w:r>
      <w:proofErr w:type="spellEnd"/>
      <w:r w:rsidRPr="006C15C9">
        <w:rPr>
          <w:lang w:val="en-US"/>
        </w:rPr>
        <w:t xml:space="preserve">, B., </w:t>
      </w:r>
      <w:proofErr w:type="spellStart"/>
      <w:r w:rsidRPr="006C15C9">
        <w:rPr>
          <w:i/>
          <w:lang w:val="en-US"/>
        </w:rPr>
        <w:t>Bioanal</w:t>
      </w:r>
      <w:proofErr w:type="spellEnd"/>
      <w:r w:rsidRPr="006C15C9">
        <w:rPr>
          <w:lang w:val="en-US"/>
        </w:rPr>
        <w:t xml:space="preserve">. </w:t>
      </w:r>
      <w:r w:rsidRPr="006C15C9">
        <w:rPr>
          <w:b/>
          <w:lang w:val="en-US"/>
        </w:rPr>
        <w:t>2012</w:t>
      </w:r>
      <w:r w:rsidRPr="006C15C9">
        <w:rPr>
          <w:lang w:val="en-US"/>
        </w:rPr>
        <w:t xml:space="preserve">, Rev. 4, 1. </w:t>
      </w:r>
    </w:p>
    <w:p w14:paraId="74D5F6E5" w14:textId="77777777" w:rsidR="006C15C9" w:rsidRPr="008D0041" w:rsidRDefault="006C15C9" w:rsidP="006C15C9">
      <w:pPr>
        <w:jc w:val="both"/>
        <w:rPr>
          <w:lang w:val="fr-FR"/>
        </w:rPr>
      </w:pPr>
      <w:r w:rsidRPr="006C15C9">
        <w:t>[4] Peña-Guzmán, C</w:t>
      </w:r>
      <w:r w:rsidRPr="006C15C9">
        <w:rPr>
          <w:i/>
        </w:rPr>
        <w:t xml:space="preserve">. J. </w:t>
      </w:r>
      <w:proofErr w:type="spellStart"/>
      <w:r w:rsidRPr="006C15C9">
        <w:rPr>
          <w:i/>
        </w:rPr>
        <w:t>Environ</w:t>
      </w:r>
      <w:proofErr w:type="spellEnd"/>
      <w:r w:rsidRPr="006C15C9">
        <w:rPr>
          <w:i/>
        </w:rPr>
        <w:t xml:space="preserve">. </w:t>
      </w:r>
      <w:r w:rsidRPr="008D0041">
        <w:rPr>
          <w:i/>
          <w:lang w:val="fr-FR"/>
        </w:rPr>
        <w:t>Manage</w:t>
      </w:r>
      <w:r w:rsidRPr="008D0041">
        <w:rPr>
          <w:lang w:val="fr-FR"/>
        </w:rPr>
        <w:t xml:space="preserve">., </w:t>
      </w:r>
      <w:r w:rsidRPr="008D0041">
        <w:rPr>
          <w:b/>
          <w:lang w:val="fr-FR"/>
        </w:rPr>
        <w:t>2019</w:t>
      </w:r>
      <w:r w:rsidRPr="008D0041">
        <w:rPr>
          <w:lang w:val="fr-FR"/>
        </w:rPr>
        <w:t xml:space="preserve">, 237, 408. </w:t>
      </w:r>
    </w:p>
    <w:p w14:paraId="3E3C2406" w14:textId="77777777" w:rsidR="006C15C9" w:rsidRPr="008D0041" w:rsidRDefault="006C15C9" w:rsidP="006C15C9">
      <w:pPr>
        <w:jc w:val="both"/>
        <w:rPr>
          <w:lang w:val="fr-FR"/>
        </w:rPr>
      </w:pPr>
      <w:r w:rsidRPr="008D0041">
        <w:rPr>
          <w:lang w:val="fr-FR"/>
        </w:rPr>
        <w:t xml:space="preserve">[5] </w:t>
      </w:r>
      <w:proofErr w:type="spellStart"/>
      <w:r w:rsidRPr="008D0041">
        <w:rPr>
          <w:lang w:val="fr-FR"/>
        </w:rPr>
        <w:t>López</w:t>
      </w:r>
      <w:proofErr w:type="spellEnd"/>
      <w:r w:rsidRPr="008D0041">
        <w:rPr>
          <w:lang w:val="fr-FR"/>
        </w:rPr>
        <w:t xml:space="preserve">-Pacheco, I., </w:t>
      </w:r>
      <w:proofErr w:type="spellStart"/>
      <w:r w:rsidRPr="008D0041">
        <w:rPr>
          <w:i/>
          <w:lang w:val="fr-FR"/>
        </w:rPr>
        <w:t>Sci</w:t>
      </w:r>
      <w:proofErr w:type="spellEnd"/>
      <w:r w:rsidRPr="008D0041">
        <w:rPr>
          <w:i/>
          <w:lang w:val="fr-FR"/>
        </w:rPr>
        <w:t>. Total Environ.</w:t>
      </w:r>
      <w:r w:rsidRPr="008D0041">
        <w:rPr>
          <w:lang w:val="fr-FR"/>
        </w:rPr>
        <w:t xml:space="preserve">, </w:t>
      </w:r>
      <w:r w:rsidRPr="008D0041">
        <w:rPr>
          <w:b/>
          <w:lang w:val="fr-FR"/>
        </w:rPr>
        <w:t>2019</w:t>
      </w:r>
      <w:r w:rsidRPr="008D0041">
        <w:rPr>
          <w:lang w:val="fr-FR"/>
        </w:rPr>
        <w:t xml:space="preserve">, 690, 1068. </w:t>
      </w:r>
    </w:p>
    <w:p w14:paraId="1630D9D5" w14:textId="77777777" w:rsidR="006C15C9" w:rsidRPr="008D0041" w:rsidRDefault="006C15C9" w:rsidP="006C15C9">
      <w:pPr>
        <w:jc w:val="both"/>
        <w:rPr>
          <w:lang w:val="fr-FR"/>
        </w:rPr>
      </w:pPr>
      <w:r w:rsidRPr="008D0041">
        <w:rPr>
          <w:lang w:val="fr-FR"/>
        </w:rPr>
        <w:t xml:space="preserve">[6] Marti. E., </w:t>
      </w:r>
      <w:r w:rsidRPr="008D0041">
        <w:rPr>
          <w:i/>
          <w:lang w:val="fr-FR"/>
        </w:rPr>
        <w:t xml:space="preserve">Trends </w:t>
      </w:r>
      <w:proofErr w:type="spellStart"/>
      <w:r w:rsidRPr="008D0041">
        <w:rPr>
          <w:i/>
          <w:lang w:val="fr-FR"/>
        </w:rPr>
        <w:t>Microbiol</w:t>
      </w:r>
      <w:proofErr w:type="spellEnd"/>
      <w:r w:rsidRPr="008D0041">
        <w:rPr>
          <w:i/>
          <w:lang w:val="fr-FR"/>
        </w:rPr>
        <w:t>.</w:t>
      </w:r>
      <w:r w:rsidRPr="008D0041">
        <w:rPr>
          <w:lang w:val="fr-FR"/>
        </w:rPr>
        <w:t xml:space="preserve">, </w:t>
      </w:r>
      <w:r w:rsidRPr="008D0041">
        <w:rPr>
          <w:b/>
          <w:lang w:val="fr-FR"/>
        </w:rPr>
        <w:t>2014</w:t>
      </w:r>
      <w:r w:rsidRPr="008D0041">
        <w:rPr>
          <w:lang w:val="fr-FR"/>
        </w:rPr>
        <w:t xml:space="preserve">, 22, 36. </w:t>
      </w:r>
    </w:p>
    <w:p w14:paraId="2BC31D4D" w14:textId="77777777" w:rsidR="001B7762" w:rsidRPr="008D0041" w:rsidRDefault="001B7762" w:rsidP="001B7762">
      <w:pPr>
        <w:jc w:val="both"/>
        <w:rPr>
          <w:lang w:val="fr-FR"/>
        </w:rPr>
      </w:pPr>
    </w:p>
    <w:sectPr w:rsidR="001B7762" w:rsidRPr="008D004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54FD5"/>
    <w:multiLevelType w:val="multilevel"/>
    <w:tmpl w:val="AD343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7917D9"/>
    <w:multiLevelType w:val="hybridMultilevel"/>
    <w:tmpl w:val="34A4F9F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0827994">
    <w:abstractNumId w:val="0"/>
  </w:num>
  <w:num w:numId="2" w16cid:durableId="19039077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762"/>
    <w:rsid w:val="000B213C"/>
    <w:rsid w:val="0011767C"/>
    <w:rsid w:val="00181045"/>
    <w:rsid w:val="001B7762"/>
    <w:rsid w:val="001E7602"/>
    <w:rsid w:val="00205D35"/>
    <w:rsid w:val="00277D0F"/>
    <w:rsid w:val="0033485B"/>
    <w:rsid w:val="0057034B"/>
    <w:rsid w:val="00573CFB"/>
    <w:rsid w:val="005970B7"/>
    <w:rsid w:val="005B2EFE"/>
    <w:rsid w:val="00613B4D"/>
    <w:rsid w:val="006414AE"/>
    <w:rsid w:val="006C15C9"/>
    <w:rsid w:val="007907E9"/>
    <w:rsid w:val="007B7069"/>
    <w:rsid w:val="007F697C"/>
    <w:rsid w:val="0080243F"/>
    <w:rsid w:val="00817E1D"/>
    <w:rsid w:val="008D0041"/>
    <w:rsid w:val="008F2751"/>
    <w:rsid w:val="00926EC0"/>
    <w:rsid w:val="009619B0"/>
    <w:rsid w:val="00A2479A"/>
    <w:rsid w:val="00A37E98"/>
    <w:rsid w:val="00B071DF"/>
    <w:rsid w:val="00B50520"/>
    <w:rsid w:val="00B561D7"/>
    <w:rsid w:val="00B732C4"/>
    <w:rsid w:val="00BF7B6E"/>
    <w:rsid w:val="00CF7220"/>
    <w:rsid w:val="00D22DE6"/>
    <w:rsid w:val="00D230E0"/>
    <w:rsid w:val="00D50B6E"/>
    <w:rsid w:val="00DD6F47"/>
    <w:rsid w:val="00E4498A"/>
    <w:rsid w:val="00F4674E"/>
    <w:rsid w:val="00FD0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2A6C4"/>
  <w15:chartTrackingRefBased/>
  <w15:docId w15:val="{1F0A4F16-0542-4E53-ACE0-03231E82A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B77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77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776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77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776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B77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77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77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77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77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77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77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7762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7762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B776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776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776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776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B77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B77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B77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B77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B77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B776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B776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B7762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B77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B7762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B7762"/>
    <w:rPr>
      <w:b/>
      <w:bCs/>
      <w:smallCaps/>
      <w:color w:val="2F5496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6C15C9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C15C9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B561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561D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561D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561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561D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milias@ciop.unlp.edu.a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486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 Serrano</dc:creator>
  <cp:keywords/>
  <dc:description/>
  <cp:lastModifiedBy>Emi Serrano</cp:lastModifiedBy>
  <cp:revision>3</cp:revision>
  <dcterms:created xsi:type="dcterms:W3CDTF">2025-05-16T18:32:00Z</dcterms:created>
  <dcterms:modified xsi:type="dcterms:W3CDTF">2025-05-16T18:33:00Z</dcterms:modified>
</cp:coreProperties>
</file>