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8"/>
          <w:szCs w:val="28"/>
          <w:lang w:val="es-AR"/>
        </w:rPr>
        <w:t>Materia Condensada y Sistemas Complejos.</w:t>
      </w:r>
    </w:p>
    <w:p>
      <w:pPr>
        <w:pStyle w:val="style0"/>
        <w:jc w:val="center"/>
      </w:pPr>
      <w:r>
        <w:rPr>
          <w:sz w:val="24"/>
          <w:szCs w:val="24"/>
          <w:lang w:val="es-AR"/>
        </w:rPr>
        <w:t>Programa 2013 – R. A. Borzi</w:t>
      </w:r>
    </w:p>
    <w:p>
      <w:pPr>
        <w:pStyle w:val="style0"/>
      </w:pPr>
      <w:r>
        <w:rPr>
          <w:lang w:val="es-AR"/>
        </w:rPr>
      </w:r>
    </w:p>
    <w:p>
      <w:pPr>
        <w:pStyle w:val="style0"/>
        <w:jc w:val="both"/>
      </w:pPr>
      <w:r>
        <w:rPr>
          <w:lang w:val="es-AR"/>
        </w:rPr>
        <w:t xml:space="preserve">1- </w:t>
      </w:r>
      <w:r>
        <w:rPr>
          <w:i/>
          <w:lang w:val="es-AR"/>
        </w:rPr>
        <w:t>Fases, diagramas de fases, transiciones, y simetrías.</w:t>
      </w:r>
      <w:r>
        <w:rPr>
          <w:lang w:val="es-AR"/>
        </w:rPr>
        <w:t xml:space="preserve"> Fases estructurales </w:t>
      </w:r>
      <w:r>
        <w:rPr>
          <w:lang w:val="es-AR"/>
        </w:rPr>
        <w:t xml:space="preserve"> usuales:</w:t>
      </w:r>
      <w:r>
        <w:rPr>
          <w:lang w:val="es-AR"/>
        </w:rPr>
        <w:t xml:space="preserve"> gas, líquido y sólido. </w:t>
      </w:r>
      <w:r>
        <w:rPr>
          <w:lang w:val="es-AR"/>
        </w:rPr>
        <w:t>El d</w:t>
      </w:r>
      <w:r>
        <w:rPr>
          <w:lang w:val="es-AR"/>
        </w:rPr>
        <w:t xml:space="preserve">iagrama de fases </w:t>
      </w:r>
      <w:r>
        <w:rPr>
          <w:lang w:val="es-AR"/>
        </w:rPr>
        <w:t>y s</w:t>
      </w:r>
      <w:r>
        <w:rPr>
          <w:lang w:val="es-AR"/>
        </w:rPr>
        <w:t xml:space="preserve">u conexión con las simetrías; el concepto de parámetro de orden. Ruptura de simetría y difracción de Bragg. Transiciones de fases de primer y segundo orden. </w:t>
      </w:r>
    </w:p>
    <w:p>
      <w:pPr>
        <w:pStyle w:val="style0"/>
        <w:jc w:val="both"/>
      </w:pPr>
      <w:r>
        <w:rPr>
          <w:lang w:val="es-AR"/>
        </w:rPr>
        <w:t xml:space="preserve">Más de tres estados de la materia: cristales líquidos; múltiples fases cristalinas y líquidas; vidrios. </w:t>
      </w:r>
      <w:r>
        <w:rPr>
          <w:lang w:val="es-AR"/>
        </w:rPr>
        <w:t>G</w:t>
      </w:r>
      <w:r>
        <w:rPr>
          <w:lang w:val="es-AR"/>
        </w:rPr>
        <w:t xml:space="preserve">eneralización del concepto de fase. Fases no estructurales: conductores, aislantes y superconductores; ferromagnetos, paramagnetos, antiferromagnetos; ferroeléctricos. </w:t>
      </w:r>
      <w:r>
        <w:rPr>
          <w:lang w:val="es-AR"/>
        </w:rPr>
        <w:t>Método: estudio del estado fundamental, sus defectos y excitaciones.</w:t>
      </w:r>
    </w:p>
    <w:p>
      <w:pPr>
        <w:pStyle w:val="style0"/>
        <w:jc w:val="both"/>
      </w:pPr>
      <w:r>
        <w:rPr>
          <w:lang w:val="es-AR"/>
        </w:rPr>
        <w:t xml:space="preserve">2- </w:t>
      </w:r>
      <w:r>
        <w:rPr>
          <w:i/>
          <w:lang w:val="es-AR"/>
        </w:rPr>
        <w:t>C</w:t>
      </w:r>
      <w:r>
        <w:rPr>
          <w:i/>
          <w:lang w:val="es-AR"/>
        </w:rPr>
        <w:t xml:space="preserve">lasificación de los </w:t>
      </w:r>
      <w:r>
        <w:rPr>
          <w:i/>
          <w:lang w:val="es-AR"/>
        </w:rPr>
        <w:t>materiales</w:t>
      </w:r>
      <w:r>
        <w:rPr>
          <w:i/>
          <w:lang w:val="es-AR"/>
        </w:rPr>
        <w:t xml:space="preserve"> de acuerdo a sus interacciones.</w:t>
      </w:r>
      <w:r>
        <w:rPr>
          <w:lang w:val="es-AR"/>
        </w:rPr>
        <w:t xml:space="preserve"> Cristales moleculares y la interacción de Van der Waals.  Sólidos iónicos. Sólidos covalentes. Metales.</w:t>
      </w:r>
    </w:p>
    <w:p>
      <w:pPr>
        <w:pStyle w:val="style0"/>
        <w:jc w:val="both"/>
      </w:pPr>
      <w:r>
        <w:rPr>
          <w:i w:val="off"/>
          <w:iCs w:val="off"/>
          <w:lang w:val="es-AR"/>
        </w:rPr>
        <w:t>El estado fundamental: cómo describir l</w:t>
      </w:r>
      <w:r>
        <w:rPr>
          <w:i w:val="off"/>
          <w:iCs w:val="off"/>
          <w:lang w:val="es-AR"/>
        </w:rPr>
        <w:t>a estructura cristalina.</w:t>
      </w:r>
      <w:r>
        <w:rPr>
          <w:lang w:val="es-AR"/>
        </w:rPr>
        <w:t xml:space="preserve"> Distintas fases dentro de la fase sólida. Alótropos. Descripción de una estructura: red y base; celda unidad y celda primitiva. Clasificación en 2 y 3 dimensiones. Estructuras más conocidas: ejemplos. Coordinación. Índices de Miller.</w:t>
      </w:r>
    </w:p>
    <w:p>
      <w:pPr>
        <w:pStyle w:val="style0"/>
        <w:jc w:val="both"/>
      </w:pPr>
      <w:r>
        <w:rPr>
          <w:lang w:val="es-AR"/>
        </w:rPr>
        <w:t>3</w:t>
      </w:r>
      <w:r>
        <w:rPr>
          <w:lang w:val="es-AR"/>
        </w:rPr>
        <w:t xml:space="preserve">- </w:t>
      </w:r>
      <w:r>
        <w:rPr>
          <w:i/>
          <w:lang w:val="es-AR"/>
        </w:rPr>
        <w:t>O</w:t>
      </w:r>
      <w:r>
        <w:rPr>
          <w:i/>
          <w:lang w:val="es-AR"/>
        </w:rPr>
        <w:t>ndas en cristales: rayos x, electrones, neutrones.</w:t>
      </w:r>
      <w:r>
        <w:rPr>
          <w:lang w:val="es-AR"/>
        </w:rPr>
        <w:t xml:space="preserve"> Factor de dispersión atómico y factor de estructura. Dispersión elástica. Condiciones de difracción de Laue y ley de Bragg. Red recíproca: utilidad de este concepto. Extinciones; difracción de neutrones y antiferromagnetismo.  Condición de Bragg y formación de ondas estacionarias: su efecto en la relación de dispersión de los electrones (formación de bandas) y de otras excitaciones del sistema.</w:t>
      </w:r>
    </w:p>
    <w:p>
      <w:pPr>
        <w:pStyle w:val="style0"/>
        <w:jc w:val="both"/>
      </w:pPr>
      <w:r>
        <w:rPr>
          <w:lang w:val="es-AR"/>
        </w:rPr>
        <w:t>4</w:t>
      </w:r>
      <w:r>
        <w:rPr>
          <w:lang w:val="es-AR"/>
        </w:rPr>
        <w:t xml:space="preserve">- </w:t>
      </w:r>
      <w:r>
        <w:rPr>
          <w:i/>
          <w:lang w:val="es-AR"/>
        </w:rPr>
        <w:t>D</w:t>
      </w:r>
      <w:r>
        <w:rPr>
          <w:i/>
          <w:lang w:val="es-AR"/>
        </w:rPr>
        <w:t xml:space="preserve">inámica de la red cristalina </w:t>
      </w:r>
      <w:r>
        <w:rPr>
          <w:i/>
          <w:lang w:val="es-AR"/>
        </w:rPr>
        <w:t xml:space="preserve">como </w:t>
      </w:r>
      <w:r>
        <w:rPr>
          <w:i/>
          <w:lang w:val="es-AR"/>
        </w:rPr>
        <w:t>ejemplo de excitaciones colectivas</w:t>
      </w:r>
      <w:r>
        <w:rPr>
          <w:i/>
          <w:lang w:val="es-AR"/>
        </w:rPr>
        <w:t>.</w:t>
      </w:r>
      <w:r>
        <w:rPr>
          <w:lang w:val="es-AR"/>
        </w:rPr>
        <w:t xml:space="preserve"> Propagación del sonido. Aproximación armónica. Cadena unidimensional de N átomos idénticos. Modos normales y la descripción clásica de las vibraciones de la red. El impulso cristalino; conteo del número de modos normales.  Relación de dispersión. Paquetes de ondas, dispersión y velocidad de grupo; formación de ondas estacionarias.  Cadena unidimensional con dos tipos de átomos. Modos acústicos y modos ópticos.  Generalización de los resultados a 3 dimensiones e interacciones de mayor alcance. </w:t>
      </w:r>
    </w:p>
    <w:p>
      <w:pPr>
        <w:pStyle w:val="style0"/>
        <w:jc w:val="both"/>
      </w:pPr>
      <w:r>
        <w:rPr>
          <w:i/>
          <w:lang w:val="es-AR"/>
        </w:rPr>
        <w:t>Tratamiento cuántico de las excitaciones: f</w:t>
      </w:r>
      <w:r>
        <w:rPr>
          <w:i/>
          <w:lang w:val="es-AR"/>
        </w:rPr>
        <w:t>onones.</w:t>
      </w:r>
      <w:r>
        <w:rPr>
          <w:lang w:val="es-AR"/>
        </w:rPr>
        <w:t xml:space="preserve"> Teorema de equipartición de la energía y el calor específico de un sólido. El modelo de Einstein: aciertos y limitaciones. El concepto de densidad de modos normales.  Las excitaciones de la red como un gas de bosones libres no conservados.  La interpolación entre el comportamiento de baja y alta temperatura: el modelo de Debye. </w:t>
      </w:r>
      <w:r>
        <w:rPr>
          <w:lang w:val="es-AR"/>
        </w:rPr>
        <w:t>Comparación con la radiación de un cuerpo negro.</w:t>
      </w:r>
      <w:r>
        <w:rPr>
          <w:lang w:val="es-AR"/>
        </w:rPr>
        <w:t xml:space="preserve"> Dispersión inelástica de neutrones y la medida de la relación de dispersión de las excitaciones de un cristal. Efectos anarmónicos. Ley de Gruneisen.</w:t>
      </w:r>
    </w:p>
    <w:p>
      <w:pPr>
        <w:pStyle w:val="style0"/>
        <w:jc w:val="both"/>
      </w:pPr>
      <w:r>
        <w:rPr>
          <w:lang w:val="es-AR"/>
        </w:rPr>
        <w:t>5</w:t>
      </w:r>
      <w:r>
        <w:rPr>
          <w:lang w:val="es-AR"/>
        </w:rPr>
        <w:t xml:space="preserve">- </w:t>
      </w:r>
      <w:r>
        <w:rPr>
          <w:i/>
          <w:lang w:val="es-AR"/>
        </w:rPr>
        <w:t>Anarmonicidad y transformaciones de fase displacivas</w:t>
      </w:r>
      <w:r>
        <w:rPr>
          <w:lang w:val="es-AR"/>
        </w:rPr>
        <w:t xml:space="preserve">. Conección con la ferroelectricidad.  Dieléctricos, ferroeléctricos, piroeléctricos, piezoeléctricos y electretes. Ley de Curie-Weiss para un dieléctrico: </w:t>
      </w:r>
      <w:r>
        <w:rPr>
          <w:lang w:val="es-AR"/>
        </w:rPr>
        <w:t>un primer ejemplo de criticalidad. E</w:t>
      </w:r>
      <w:r>
        <w:rPr>
          <w:lang w:val="es-AR"/>
        </w:rPr>
        <w:t>xponentes críticos.</w:t>
      </w:r>
    </w:p>
    <w:p>
      <w:pPr>
        <w:pStyle w:val="style0"/>
        <w:jc w:val="both"/>
      </w:pPr>
      <w:r>
        <w:rPr>
          <w:lang w:val="es-AR"/>
        </w:rPr>
        <w:t>6</w:t>
      </w:r>
      <w:r>
        <w:rPr>
          <w:lang w:val="es-AR"/>
        </w:rPr>
        <w:t xml:space="preserve">- </w:t>
      </w:r>
      <w:r>
        <w:rPr>
          <w:i/>
          <w:lang w:val="es-AR"/>
        </w:rPr>
        <w:t>Ines</w:t>
      </w:r>
      <w:r>
        <w:rPr>
          <w:i/>
          <w:lang w:val="es-AR"/>
        </w:rPr>
        <w:t xml:space="preserve">tabilidad del </w:t>
      </w:r>
      <w:r>
        <w:rPr>
          <w:i/>
          <w:lang w:val="es-AR"/>
        </w:rPr>
        <w:t>estado fundamental frente a fluctuaciones: orden y el Teorema de Mermin y Wagner</w:t>
      </w:r>
      <w:r>
        <w:rPr>
          <w:i/>
          <w:lang w:val="es-AR"/>
        </w:rPr>
        <w:t>.</w:t>
      </w:r>
      <w:r>
        <w:rPr>
          <w:lang w:val="es-AR"/>
        </w:rPr>
        <w:t xml:space="preserve"> Fusión de un cristal: fluctuación media cuadrática y criterio de Lindemann. Inestabilidad del cristal frente a fluctuaciones cuánticas: el caso del He. Estabilidad de los cristales para 1, 2 y 3 dimensiones; temperatura cero y temperatura finita. Su generalización: enunciado del teorema de Mermin y Wagner (MW). La inestabilidad de los cristales en 2 dimensiones; el caso del grafeno.  Conexión entre MW, las excitaciones de más baja energía, y la ruptura de una simetría continua. El enunciado del teorema de Goldstone, su conexión con la multiplicidad de estados fundamentales. </w:t>
      </w:r>
    </w:p>
    <w:p>
      <w:pPr>
        <w:pStyle w:val="style0"/>
        <w:jc w:val="both"/>
      </w:pPr>
      <w:r>
        <w:rPr>
          <w:lang w:val="es-AR"/>
        </w:rPr>
        <w:t>7</w:t>
      </w:r>
      <w:r>
        <w:rPr>
          <w:lang w:val="es-AR"/>
        </w:rPr>
        <w:t xml:space="preserve">- </w:t>
      </w:r>
      <w:r>
        <w:rPr>
          <w:i/>
          <w:iCs/>
          <w:lang w:val="es-AR"/>
        </w:rPr>
        <w:t>L</w:t>
      </w:r>
      <w:r>
        <w:rPr>
          <w:i/>
          <w:lang w:val="es-AR"/>
        </w:rPr>
        <w:t>os</w:t>
      </w:r>
      <w:r>
        <w:rPr>
          <w:i/>
          <w:lang w:val="es-AR"/>
        </w:rPr>
        <w:t xml:space="preserve"> grados de libertad e</w:t>
      </w:r>
      <w:r>
        <w:rPr>
          <w:i/>
          <w:lang w:val="es-AR"/>
        </w:rPr>
        <w:t>lectr</w:t>
      </w:r>
      <w:r>
        <w:rPr>
          <w:i/>
          <w:lang w:val="es-AR"/>
        </w:rPr>
        <w:t>ónicos</w:t>
      </w:r>
      <w:r>
        <w:rPr>
          <w:i/>
          <w:lang w:val="es-AR"/>
        </w:rPr>
        <w:t xml:space="preserve"> en un sólido.</w:t>
      </w:r>
      <w:r>
        <w:rPr>
          <w:lang w:val="es-AR"/>
        </w:rPr>
        <w:t xml:space="preserve"> Gas de electrones, energía y temperatura de Fermi. Bandas de energía, acercamiento desde dos puntos de vista contrarios: electrones en un potencial periódico, y método de ligadura fuerte. Conductores, aislantes y semiconductores. Electrones y huecos como excitaciones en un semiconductor; masa efectiva de las cuasipartículas. Orbitales, bandas anchas y angostas,  y la densidad de estados </w:t>
      </w:r>
      <w:r>
        <w:rPr>
          <w:lang w:val="es-AR"/>
        </w:rPr>
        <w:t xml:space="preserve">electrónicos </w:t>
      </w:r>
      <w:r>
        <w:rPr>
          <w:lang w:val="es-AR"/>
        </w:rPr>
        <w:t>de un metal.</w:t>
      </w:r>
    </w:p>
    <w:p>
      <w:pPr>
        <w:pStyle w:val="style0"/>
        <w:jc w:val="both"/>
      </w:pPr>
      <w:r>
        <w:rPr>
          <w:lang w:val="es-AR"/>
        </w:rPr>
        <w:t>8</w:t>
      </w:r>
      <w:r>
        <w:rPr>
          <w:lang w:val="es-AR"/>
        </w:rPr>
        <w:t xml:space="preserve">- </w:t>
      </w:r>
      <w:r>
        <w:rPr>
          <w:lang w:val="es-AR"/>
        </w:rPr>
        <w:t>Los grados de libertad m</w:t>
      </w:r>
      <w:r>
        <w:rPr>
          <w:i/>
          <w:lang w:val="es-AR"/>
        </w:rPr>
        <w:t>agn</w:t>
      </w:r>
      <w:r>
        <w:rPr>
          <w:i/>
          <w:lang w:val="es-AR"/>
        </w:rPr>
        <w:t>éticos</w:t>
      </w:r>
      <w:r>
        <w:rPr>
          <w:i/>
          <w:lang w:val="es-AR"/>
        </w:rPr>
        <w:t>.</w:t>
      </w:r>
      <w:r>
        <w:rPr>
          <w:lang w:val="es-AR"/>
        </w:rPr>
        <w:t xml:space="preserve"> Origen electrostático de la interacción entre espines. Ferromagnetismo y antiferromagnetismo en sistemas aisladores. Magnetización y susceptibilidad magnética. El caso isotrópico: el hamiltoniano de Heisenberg. Teoría de campo medio; el campo molecular de Weiss. </w:t>
      </w:r>
    </w:p>
    <w:p>
      <w:pPr>
        <w:pStyle w:val="style0"/>
        <w:jc w:val="both"/>
      </w:pPr>
      <w:r>
        <w:rPr>
          <w:lang w:val="es-AR"/>
        </w:rPr>
        <w:t xml:space="preserve">Aciertos y flaquezas de la teoría de campo medio. Fenómenos críticos: exponentes críticos; vínculo con el tratamiento de la ferroelectricidad. Ondas de spin: tratamiento clásico en una cadena de spines </w:t>
      </w:r>
      <w:r>
        <w:rPr>
          <w:lang w:val="es-AR"/>
        </w:rPr>
        <w:t>y la r</w:t>
      </w:r>
      <w:r>
        <w:rPr>
          <w:lang w:val="es-AR"/>
        </w:rPr>
        <w:t>elación de dispersión. Tratamiento cuántico: los magnones como cuasipartículas.</w:t>
      </w:r>
    </w:p>
    <w:p>
      <w:pPr>
        <w:pStyle w:val="style0"/>
        <w:jc w:val="both"/>
      </w:pPr>
      <w:r>
        <w:rPr>
          <w:lang w:val="es-AR"/>
        </w:rPr>
        <w:t>Magnetismo en metales. Paramagnetismo de Pauli.  Ferromagnetismo de electrones ambulantes: el criterio de Stoner y los metales 3d. Antiferromagnetismo en metales y onda de densidad de spin: la inestabilidad de Peierls en un cristal unidimensional.</w:t>
      </w:r>
    </w:p>
    <w:p>
      <w:pPr>
        <w:pStyle w:val="style0"/>
        <w:jc w:val="both"/>
      </w:pPr>
      <w:r>
        <w:rPr>
          <w:lang w:val="es-AR"/>
        </w:rPr>
        <w:t xml:space="preserve">Anisotropía magnética. Modelo XY; parámetro de orden y vínculo con la transición de Bose-Einstein. Modelo de Ising. </w:t>
      </w:r>
      <w:r>
        <w:rPr>
          <w:lang w:val="es-AR"/>
        </w:rPr>
        <w:t>Teorema de Mermin y Wagner y orden magnético.</w:t>
      </w:r>
    </w:p>
    <w:p>
      <w:pPr>
        <w:pStyle w:val="style0"/>
        <w:jc w:val="both"/>
      </w:pPr>
      <w:r>
        <w:rPr>
          <w:lang w:val="es-AR"/>
        </w:rPr>
        <w:t>Paralelismo entre el orden magnético y el estructural</w:t>
      </w:r>
      <w:r>
        <w:rPr>
          <w:lang w:val="es-AR"/>
        </w:rPr>
        <w:t>.</w:t>
      </w:r>
      <w:r>
        <w:rPr>
          <w:lang w:val="es-AR"/>
        </w:rPr>
        <w:t xml:space="preserve"> </w:t>
      </w:r>
      <w:r>
        <w:rPr>
          <w:lang w:val="es-AR"/>
        </w:rPr>
        <w:t>Resumen: e</w:t>
      </w:r>
      <w:r>
        <w:rPr>
          <w:lang w:val="es-AR"/>
        </w:rPr>
        <w:t xml:space="preserve">stado fundamental, parámetro de orden y simetrías. Formación de dominios. Excitaciones colectivas </w:t>
      </w:r>
      <w:r>
        <w:rPr>
          <w:lang w:val="es-AR"/>
        </w:rPr>
        <w:t>y defectos</w:t>
      </w:r>
      <w:r>
        <w:rPr>
          <w:lang w:val="es-AR"/>
        </w:rPr>
        <w:t>.</w:t>
      </w:r>
    </w:p>
    <w:p>
      <w:pPr>
        <w:pStyle w:val="style0"/>
        <w:jc w:val="both"/>
      </w:pPr>
      <w:r>
        <w:rPr>
          <w:lang w:val="es-AR"/>
        </w:rPr>
        <w:t>9</w:t>
      </w:r>
      <w:r>
        <w:rPr>
          <w:lang w:val="es-AR"/>
        </w:rPr>
        <w:t xml:space="preserve">- </w:t>
      </w:r>
      <w:r>
        <w:rPr>
          <w:i/>
          <w:iCs/>
          <w:lang w:val="es-AR"/>
        </w:rPr>
        <w:t>Breve introducción a la s</w:t>
      </w:r>
      <w:r>
        <w:rPr>
          <w:i/>
          <w:iCs/>
          <w:lang w:val="es-AR"/>
        </w:rPr>
        <w:t>u</w:t>
      </w:r>
      <w:r>
        <w:rPr>
          <w:i/>
          <w:lang w:val="es-AR"/>
        </w:rPr>
        <w:t>perfluidez.</w:t>
      </w:r>
      <w:r>
        <w:rPr>
          <w:lang w:val="es-AR"/>
        </w:rPr>
        <w:t xml:space="preserve"> Vínculo </w:t>
      </w:r>
      <w:r>
        <w:rPr>
          <w:lang w:val="es-AR"/>
        </w:rPr>
        <w:t xml:space="preserve">entre la transición superfluida y </w:t>
      </w:r>
      <w:r>
        <w:rPr>
          <w:lang w:val="es-AR"/>
        </w:rPr>
        <w:t xml:space="preserve">la transición de Bose-Einstein; </w:t>
      </w:r>
      <w:r>
        <w:rPr>
          <w:lang w:val="es-AR"/>
        </w:rPr>
        <w:t>el calor específico en la transición lambda</w:t>
      </w:r>
      <w:r>
        <w:rPr>
          <w:lang w:val="es-AR"/>
        </w:rPr>
        <w:t xml:space="preserve">.  Aplicación del teorema MW: ausencia de transición en 2 dimensiones. </w:t>
      </w:r>
      <w:r>
        <w:rPr>
          <w:lang w:val="es-AR"/>
        </w:rPr>
        <w:t xml:space="preserve">Imposibilidad de </w:t>
      </w:r>
      <w:r>
        <w:rPr>
          <w:lang w:val="es-AR"/>
        </w:rPr>
        <w:t xml:space="preserve"> superfluidez en un gas ideal de bosones: el criterio de Landau. El espectro de excitaciones para el </w:t>
      </w:r>
      <w:r>
        <w:rPr>
          <w:vertAlign w:val="superscript"/>
          <w:lang w:val="es-AR"/>
        </w:rPr>
        <w:t>4</w:t>
      </w:r>
      <w:r>
        <w:rPr>
          <w:lang w:val="es-AR"/>
        </w:rPr>
        <w:t>He. Superfluidez debajo de la transición lambda. Conductividad térmica perfecta. Modelo de dos fluidos: el efecto fuente.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sz w:val="24"/>
          <w:b/>
          <w:szCs w:val="24"/>
          <w:bCs/>
          <w:lang w:val="es-AR"/>
        </w:rPr>
        <w:t>Bibliografía.</w:t>
      </w:r>
    </w:p>
    <w:p>
      <w:pPr>
        <w:pStyle w:val="style0"/>
        <w:jc w:val="both"/>
      </w:pPr>
      <w:r>
        <w:rPr>
          <w:sz w:val="22"/>
          <w:szCs w:val="22"/>
          <w:rFonts w:ascii="Calibri" w:hAnsi="Calibri"/>
          <w:lang w:val="es-AR"/>
        </w:rPr>
        <w:t xml:space="preserve">* J. R. Hook and H. E. Hall (1991), </w:t>
      </w:r>
      <w:r>
        <w:rPr>
          <w:sz w:val="22"/>
          <w:i/>
          <w:szCs w:val="22"/>
          <w:iCs/>
          <w:rFonts w:ascii="Calibri" w:hAnsi="Calibri"/>
          <w:lang w:val="es-AR"/>
        </w:rPr>
        <w:t>Solid State Physics, 2</w:t>
      </w:r>
      <w:r>
        <w:rPr>
          <w:vertAlign w:val="superscript"/>
          <w:sz w:val="22"/>
          <w:i/>
          <w:szCs w:val="22"/>
          <w:iCs/>
          <w:rFonts w:ascii="Calibri" w:hAnsi="Calibri"/>
          <w:lang w:val="es-AR"/>
        </w:rPr>
        <w:t>nd</w:t>
      </w:r>
      <w:r>
        <w:rPr>
          <w:sz w:val="22"/>
          <w:i/>
          <w:szCs w:val="22"/>
          <w:iCs/>
          <w:rFonts w:ascii="Calibri" w:hAnsi="Calibri"/>
          <w:lang w:val="es-AR"/>
        </w:rPr>
        <w:t xml:space="preserve"> Edition,</w:t>
      </w:r>
      <w:r>
        <w:rPr>
          <w:sz w:val="22"/>
          <w:szCs w:val="22"/>
          <w:rFonts w:ascii="Calibri" w:hAnsi="Calibri"/>
          <w:lang w:val="es-AR"/>
        </w:rPr>
        <w:t xml:space="preserve"> John Wiley &amp; Sons, New York.</w:t>
      </w:r>
    </w:p>
    <w:p>
      <w:pPr>
        <w:pStyle w:val="style0"/>
        <w:jc w:val="both"/>
      </w:pP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rFonts w:ascii="Calibri" w:hAnsi="Calibri"/>
          <w:lang w:val="es-AR"/>
        </w:rPr>
        <w:t>*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rFonts w:ascii="Calibri" w:hAnsi="Calibri"/>
          <w:lang w:val="es-AR"/>
        </w:rPr>
        <w:t xml:space="preserve"> Ashcroft and Mermin (1976), </w:t>
      </w:r>
      <w:r>
        <w:rPr>
          <w:smallCaps w:val="off"/>
          <w:caps w:val="off"/>
          <w:color w:val="444444"/>
          <w:sz w:val="22"/>
          <w:spacing w:val="0"/>
          <w:i/>
          <w:b w:val="off"/>
          <w:szCs w:val="22"/>
          <w:iCs/>
          <w:rFonts w:ascii="Calibri" w:hAnsi="Calibri"/>
          <w:lang w:val="es-AR"/>
        </w:rPr>
        <w:t>Solid State Physics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>, Saunders College Publishing, London.</w:t>
      </w:r>
    </w:p>
    <w:p>
      <w:pPr>
        <w:pStyle w:val="style0"/>
        <w:jc w:val="both"/>
      </w:pP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 xml:space="preserve">* R. A. L. Jones (2004), </w:t>
      </w:r>
      <w:r>
        <w:rPr>
          <w:smallCaps w:val="off"/>
          <w:caps w:val="off"/>
          <w:color w:val="444444"/>
          <w:sz w:val="22"/>
          <w:spacing w:val="0"/>
          <w:i/>
          <w:b w:val="off"/>
          <w:szCs w:val="22"/>
          <w:iCs/>
          <w:rFonts w:ascii="Calibri" w:hAnsi="Calibri"/>
          <w:lang w:val="es-AR"/>
        </w:rPr>
        <w:t>Soft Condensed Matter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>, Oxford University Press, New York.</w:t>
      </w:r>
    </w:p>
    <w:p>
      <w:pPr>
        <w:pStyle w:val="style0"/>
        <w:jc w:val="both"/>
      </w:pP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 xml:space="preserve">* J. P. Sethna (2008), </w:t>
      </w:r>
      <w:r>
        <w:rPr>
          <w:smallCaps w:val="off"/>
          <w:caps w:val="off"/>
          <w:color w:val="444444"/>
          <w:sz w:val="22"/>
          <w:spacing w:val="0"/>
          <w:i/>
          <w:b w:val="off"/>
          <w:szCs w:val="22"/>
          <w:iCs/>
          <w:rFonts w:ascii="Calibri" w:hAnsi="Calibri"/>
          <w:lang w:val="es-AR"/>
        </w:rPr>
        <w:t>Entropy, Order Parameters, and Complexity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>, Clarendon Press, Oxford.</w:t>
      </w:r>
    </w:p>
    <w:p>
      <w:pPr>
        <w:pStyle w:val="style0"/>
        <w:jc w:val="both"/>
      </w:pP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 xml:space="preserve">* 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>D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 xml:space="preserve">. 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>R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 xml:space="preserve">. 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>Tilley &amp; J. Tilley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 xml:space="preserve"> (200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>3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 xml:space="preserve">), </w:t>
      </w:r>
      <w:r>
        <w:rPr>
          <w:smallCaps w:val="off"/>
          <w:caps w:val="off"/>
          <w:color w:val="444444"/>
          <w:sz w:val="22"/>
          <w:spacing w:val="0"/>
          <w:i/>
          <w:b w:val="off"/>
          <w:szCs w:val="22"/>
          <w:iCs/>
          <w:rFonts w:ascii="Calibri" w:hAnsi="Calibri"/>
          <w:lang w:val="es-AR"/>
        </w:rPr>
        <w:t xml:space="preserve">Superfluidity and Superconductivity, </w:t>
      </w:r>
      <w:r>
        <w:rPr>
          <w:smallCaps w:val="off"/>
          <w:caps w:val="off"/>
          <w:color w:val="444444"/>
          <w:sz w:val="22"/>
          <w:spacing w:val="0"/>
          <w:i/>
          <w:b w:val="off"/>
          <w:szCs w:val="22"/>
          <w:iCs/>
          <w:rFonts w:ascii="Calibri" w:hAnsi="Calibri"/>
          <w:lang w:val="es-AR"/>
        </w:rPr>
        <w:t>3</w:t>
      </w:r>
      <w:r>
        <w:rPr>
          <w:smallCaps w:val="off"/>
          <w:caps w:val="off"/>
          <w:color w:val="444444"/>
          <w:vertAlign w:val="superscript"/>
          <w:sz w:val="22"/>
          <w:spacing w:val="0"/>
          <w:i/>
          <w:b w:val="off"/>
          <w:szCs w:val="22"/>
          <w:iCs/>
          <w:rFonts w:ascii="Calibri" w:hAnsi="Calibri"/>
          <w:lang w:val="es-AR"/>
        </w:rPr>
        <w:t>rd</w:t>
      </w:r>
      <w:r>
        <w:rPr>
          <w:smallCaps w:val="off"/>
          <w:caps w:val="off"/>
          <w:color w:val="444444"/>
          <w:sz w:val="22"/>
          <w:spacing w:val="0"/>
          <w:i/>
          <w:b w:val="off"/>
          <w:szCs w:val="22"/>
          <w:iCs/>
          <w:rFonts w:ascii="Calibri" w:hAnsi="Calibri"/>
          <w:lang w:val="es-AR"/>
        </w:rPr>
        <w:t xml:space="preserve"> Edition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 xml:space="preserve">, 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>Institute of Physics Publishing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 xml:space="preserve">, 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>Bristol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>.</w:t>
      </w:r>
    </w:p>
    <w:p>
      <w:pPr>
        <w:pStyle w:val="style0"/>
        <w:jc w:val="both"/>
      </w:pP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 xml:space="preserve">* 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>D. I. Khomskii (2010),</w:t>
      </w:r>
      <w:r>
        <w:rPr>
          <w:smallCaps w:val="off"/>
          <w:caps w:val="off"/>
          <w:color w:val="444444"/>
          <w:sz w:val="22"/>
          <w:spacing w:val="0"/>
          <w:i/>
          <w:b w:val="off"/>
          <w:szCs w:val="22"/>
          <w:iCs/>
          <w:rFonts w:ascii="Calibri" w:hAnsi="Calibri"/>
          <w:lang w:val="es-AR"/>
        </w:rPr>
        <w:t xml:space="preserve"> Basic Aspects of the Quantum Theory of Solids</w:t>
      </w:r>
      <w:r>
        <w:rPr>
          <w:smallCaps w:val="off"/>
          <w:caps w:val="off"/>
          <w:color w:val="444444"/>
          <w:sz w:val="22"/>
          <w:spacing w:val="0"/>
          <w:i w:val="off"/>
          <w:b w:val="off"/>
          <w:szCs w:val="22"/>
          <w:iCs w:val="off"/>
          <w:rFonts w:ascii="Calibri" w:hAnsi="Calibri"/>
          <w:lang w:val="es-AR"/>
        </w:rPr>
        <w:t>, Cambridge University Press, Cambridge.</w:t>
      </w:r>
    </w:p>
    <w:p>
      <w:pPr>
        <w:pStyle w:val="style0"/>
        <w:jc w:val="both"/>
      </w:pPr>
      <w:r>
        <w:rPr>
          <w:sz w:val="22"/>
          <w:szCs w:val="22"/>
          <w:rFonts w:ascii="Calibri" w:hAnsi="Calibri"/>
        </w:rPr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417" w:left="1701" w:right="1701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DejaVu Sans" w:hAnsi="Calibri"/>
      <w:lang w:bidi="ar-SA" w:eastAsia="en-US" w:val="en-GB"/>
    </w:rPr>
  </w:style>
  <w:style w:styleId="style15" w:type="character">
    <w:name w:val="Default Paragraph Font"/>
    <w:next w:val="style15"/>
    <w:rPr/>
  </w:style>
  <w:style w:styleId="style16" w:type="character">
    <w:name w:val="Destacado"/>
    <w:next w:val="style16"/>
    <w:rPr>
      <w:i/>
      <w:iCs/>
    </w:rPr>
  </w:style>
  <w:style w:styleId="style17" w:type="character">
    <w:name w:val="Viñetas"/>
    <w:next w:val="style17"/>
    <w:rPr>
      <w:rFonts w:ascii="OpenSymbol" w:cs="OpenSymbol" w:eastAsia="OpenSymbol" w:hAnsi="OpenSymbol"/>
    </w:rPr>
  </w:style>
  <w:style w:styleId="style18" w:type="paragraph">
    <w:name w:val="Encabezado"/>
    <w:basedOn w:val="style0"/>
    <w:next w:val="style19"/>
    <w:pPr>
      <w:keepNext/>
      <w:spacing w:after="120" w:before="240"/>
    </w:pPr>
    <w:rPr>
      <w:sz w:val="28"/>
      <w:szCs w:val="28"/>
      <w:rFonts w:ascii="Liberation Sans" w:cs="DejaVu Sans" w:eastAsia="DejaVu Sans" w:hAnsi="Liberation Sans"/>
    </w:rPr>
  </w:style>
  <w:style w:styleId="style19" w:type="paragraph">
    <w:name w:val="Cuerpo de texto"/>
    <w:basedOn w:val="style0"/>
    <w:next w:val="style19"/>
    <w:pPr>
      <w:spacing w:after="120" w:before="0"/>
    </w:pPr>
    <w:rPr/>
  </w:style>
  <w:style w:styleId="style20" w:type="paragraph">
    <w:name w:val="Lista"/>
    <w:basedOn w:val="style19"/>
    <w:next w:val="style20"/>
    <w:pPr/>
    <w:rPr/>
  </w:style>
  <w:style w:styleId="style21" w:type="paragraph">
    <w:name w:val="Etiqueta"/>
    <w:basedOn w:val="style0"/>
    <w:next w:val="style21"/>
    <w:pPr>
      <w:suppressLineNumbers/>
      <w:spacing w:after="120" w:before="120"/>
    </w:pPr>
    <w:rPr>
      <w:sz w:val="24"/>
      <w:i/>
      <w:szCs w:val="24"/>
      <w:iCs/>
    </w:rPr>
  </w:style>
  <w:style w:styleId="style22" w:type="paragraph">
    <w:name w:val="Índice"/>
    <w:basedOn w:val="style0"/>
    <w:next w:val="style22"/>
    <w:pPr>
      <w:suppressLineNumbers/>
    </w:pPr>
    <w:rPr/>
  </w:style>
  <w:style w:styleId="style23" w:type="paragraph">
    <w:name w:val="List Paragraph"/>
    <w:basedOn w:val="style0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Application>OpenOffice.org/3.2$Unix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2013-05-28T14:04:00.00Z</dcterms:created>
  <dc:creator>Adm</dc:creator>
  <cp:lastModifiedBy>Adm</cp:lastModifiedBy>
  <cp:lastPrinted>2013-05-28T17:41:00.00Z</cp:lastPrinted>
  <dcterms:modified xsi:type="dcterms:W3CDTF">2013-05-28T17:59:00.00Z</dcterms:modified>
  <cp:revision>26</cp:revision>
</cp:coreProperties>
</file>